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noProof/>
          <w:color w:val="000000"/>
          <w:lang w:val="en-US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margin">
              <wp:posOffset>-285748</wp:posOffset>
            </wp:positionH>
            <wp:positionV relativeFrom="margin">
              <wp:posOffset>-542923</wp:posOffset>
            </wp:positionV>
            <wp:extent cx="1543050" cy="866775"/>
            <wp:effectExtent l="0" t="0" r="0" b="0"/>
            <wp:wrapSquare wrapText="bothSides" distT="0" distB="0" distL="114300" distR="114300"/>
            <wp:docPr id="4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866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PROCESO NIVELATORIO</w:t>
      </w:r>
    </w:p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Área: Economía                                                     Grado:  10 °                         Año: 2024 - 2025</w:t>
      </w:r>
    </w:p>
    <w:p w:rsidR="006536A5" w:rsidRDefault="006536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6536A5" w:rsidRDefault="006536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6536A5" w:rsidRDefault="006536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6536A5" w:rsidRDefault="006536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el viernes </w:t>
      </w:r>
      <w:r w:rsidR="006F5DD6">
        <w:rPr>
          <w:rFonts w:ascii="Arial Narrow" w:eastAsia="Arial Narrow" w:hAnsi="Arial Narrow" w:cs="Arial Narrow"/>
          <w:color w:val="000000"/>
          <w:u w:val="single"/>
        </w:rPr>
        <w:t xml:space="preserve">17 </w:t>
      </w:r>
      <w:r>
        <w:rPr>
          <w:rFonts w:ascii="Arial Narrow" w:eastAsia="Arial Narrow" w:hAnsi="Arial Narrow" w:cs="Arial Narrow"/>
          <w:color w:val="000000"/>
          <w:u w:val="single"/>
        </w:rPr>
        <w:t>de enero de 2025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6536A5" w:rsidRDefault="006536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¿Cómo las tendencias económicas y políticas locales y globales afectan tu vida cotidiana?</w:t>
      </w:r>
    </w:p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¿Cómo reconocer los principales entes de control económico y político que </w:t>
      </w:r>
      <w:r>
        <w:rPr>
          <w:rFonts w:ascii="Arial Narrow" w:eastAsia="Arial Narrow" w:hAnsi="Arial Narrow" w:cs="Arial Narrow"/>
        </w:rPr>
        <w:t>existen</w:t>
      </w:r>
      <w:r>
        <w:rPr>
          <w:rFonts w:ascii="Arial Narrow" w:eastAsia="Arial Narrow" w:hAnsi="Arial Narrow" w:cs="Arial Narrow"/>
          <w:color w:val="000000"/>
        </w:rPr>
        <w:t xml:space="preserve"> en nuestro país?</w:t>
      </w:r>
    </w:p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¿Cómo reconocer el impacto de la globalización, sobre las distintas economías y las reacciones que generan tal fenómeno?</w:t>
      </w:r>
      <w:r>
        <w:t xml:space="preserve"> </w:t>
      </w:r>
      <w:r>
        <w:rPr>
          <w:rFonts w:ascii="Arial Narrow" w:eastAsia="Arial Narrow" w:hAnsi="Arial Narrow" w:cs="Arial Narrow"/>
          <w:color w:val="000000"/>
        </w:rPr>
        <w:t>¿Cómo reconocer los principales procesos de evolución de la economía y sus efectos sobre la actualidad?</w:t>
      </w:r>
    </w:p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¿Cómo identificar la idea del desempleo en la sociedad y sus consecuencias en el orden público de un lugar?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</w:p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ab/>
      </w:r>
    </w:p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:rsidR="006536A5" w:rsidRDefault="00542FA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Realiza un cuadro comparativo entre Economía de subsistencia, Revolución Agrícola, Economía de Intercambio, Economía Antigua, Edad Media y Feudalismo.</w:t>
      </w:r>
    </w:p>
    <w:p w:rsidR="006536A5" w:rsidRDefault="00542FA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Realizar un mapa mental sobre el proceso de la Revolución industrial.</w:t>
      </w:r>
    </w:p>
    <w:p w:rsidR="006536A5" w:rsidRDefault="00542FA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Investiga los siguientes términos: Política, Poder, Autoridad, Soberanía, Estado, Gobierno, Democracia, Contrato Social, Igualdad y Justicia.</w:t>
      </w:r>
    </w:p>
    <w:p w:rsidR="006536A5" w:rsidRDefault="00542FA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bookmarkStart w:id="0" w:name="_heading=h.30j0zll" w:colFirst="0" w:colLast="0"/>
      <w:bookmarkEnd w:id="0"/>
      <w:r>
        <w:rPr>
          <w:rFonts w:ascii="Arial Narrow" w:eastAsia="Arial Narrow" w:hAnsi="Arial Narrow" w:cs="Arial Narrow"/>
        </w:rPr>
        <w:t xml:space="preserve">Elaboración de </w:t>
      </w:r>
      <w:r>
        <w:rPr>
          <w:rFonts w:ascii="Arial Narrow" w:eastAsia="Arial Narrow" w:hAnsi="Arial Narrow" w:cs="Arial Narrow"/>
          <w:highlight w:val="white"/>
        </w:rPr>
        <w:t>Esquema: Organización del Estado Colombiano (Entidades territoriales: Departamentos, municipios, corregimientos, veredas, regímenes especiales, entidades indígenas)</w:t>
      </w:r>
    </w:p>
    <w:p w:rsidR="006536A5" w:rsidRDefault="00542FA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Arial Narrow" w:eastAsia="Arial Narrow" w:hAnsi="Arial Narrow" w:cs="Arial Narrow"/>
          <w:highlight w:val="white"/>
        </w:rPr>
      </w:pPr>
      <w:bookmarkStart w:id="1" w:name="_heading=h.zcp0kvegkvsx" w:colFirst="0" w:colLast="0"/>
      <w:bookmarkEnd w:id="1"/>
      <w:r>
        <w:rPr>
          <w:rFonts w:ascii="Arial Narrow" w:eastAsia="Arial Narrow" w:hAnsi="Arial Narrow" w:cs="Arial Narrow"/>
          <w:highlight w:val="white"/>
        </w:rPr>
        <w:t xml:space="preserve">Consulta sobre </w:t>
      </w:r>
      <w:proofErr w:type="gramStart"/>
      <w:r>
        <w:rPr>
          <w:rFonts w:ascii="Arial Narrow" w:eastAsia="Arial Narrow" w:hAnsi="Arial Narrow" w:cs="Arial Narrow"/>
          <w:highlight w:val="white"/>
        </w:rPr>
        <w:t xml:space="preserve">los </w:t>
      </w:r>
      <w:r>
        <w:rPr>
          <w:rFonts w:ascii="Times New Roman" w:eastAsia="Times New Roman" w:hAnsi="Times New Roman" w:cs="Times New Roman"/>
          <w:highlight w:val="white"/>
        </w:rPr>
        <w:t xml:space="preserve"> </w:t>
      </w:r>
      <w:r>
        <w:rPr>
          <w:rFonts w:ascii="Arial Narrow" w:eastAsia="Arial Narrow" w:hAnsi="Arial Narrow" w:cs="Arial Narrow"/>
          <w:highlight w:val="white"/>
        </w:rPr>
        <w:t>movimiento</w:t>
      </w:r>
      <w:proofErr w:type="gramEnd"/>
      <w:r>
        <w:rPr>
          <w:rFonts w:ascii="Arial Narrow" w:eastAsia="Arial Narrow" w:hAnsi="Arial Narrow" w:cs="Arial Narrow"/>
          <w:highlight w:val="white"/>
        </w:rPr>
        <w:t xml:space="preserve"> obrero y sindicatos colombianos (derechos de los trabajadores)</w:t>
      </w:r>
    </w:p>
    <w:p w:rsidR="002D03F3" w:rsidRPr="002D03F3" w:rsidRDefault="002F627A" w:rsidP="004F406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firstLineChars="0" w:firstLine="0"/>
        <w:jc w:val="both"/>
        <w:rPr>
          <w:rFonts w:ascii="Arial Narrow" w:eastAsia="Arial Narrow" w:hAnsi="Arial Narrow" w:cs="Arial Narrow"/>
        </w:rPr>
      </w:pPr>
      <w:bookmarkStart w:id="2" w:name="_heading=h.gbyp8a9nz256" w:colFirst="0" w:colLast="0"/>
      <w:bookmarkEnd w:id="2"/>
      <w:r>
        <w:rPr>
          <w:rFonts w:ascii="Arial Narrow" w:eastAsia="Arial Narrow" w:hAnsi="Arial Narrow" w:cs="Arial Narrow"/>
        </w:rPr>
        <w:t>6</w:t>
      </w:r>
      <w:r w:rsidR="002D03F3">
        <w:rPr>
          <w:rFonts w:ascii="Arial Narrow" w:eastAsia="Arial Narrow" w:hAnsi="Arial Narrow" w:cs="Arial Narrow"/>
        </w:rPr>
        <w:t>.</w:t>
      </w:r>
      <w:r w:rsidR="002D03F3" w:rsidRPr="002D03F3">
        <w:t xml:space="preserve"> </w:t>
      </w:r>
      <w:r w:rsidR="002D03F3" w:rsidRPr="002D03F3">
        <w:rPr>
          <w:rFonts w:ascii="Arial Narrow" w:eastAsia="Arial Narrow" w:hAnsi="Arial Narrow" w:cs="Arial Narrow"/>
        </w:rPr>
        <w:t>Analiza las principales razones que impulsan a los países a firmar tratados de libre comercio en el contexto de la globalización.</w:t>
      </w:r>
      <w:r w:rsidR="004F4067">
        <w:rPr>
          <w:rFonts w:ascii="Arial Narrow" w:eastAsia="Arial Narrow" w:hAnsi="Arial Narrow" w:cs="Arial Narrow"/>
        </w:rPr>
        <w:t xml:space="preserve"> (</w:t>
      </w:r>
      <w:r w:rsidR="002D03F3" w:rsidRPr="002D03F3">
        <w:rPr>
          <w:rFonts w:ascii="Arial Narrow" w:eastAsia="Arial Narrow" w:hAnsi="Arial Narrow" w:cs="Arial Narrow"/>
        </w:rPr>
        <w:t>En tu respuesta, menciona aspectos como la competitividad internacional, la atracción de inversión extranjera, la búsqueda de mercados para la exportación y la integración en cadenas de valor globales. Proporciona ejemplos específicos de TLC importantes, como el NAFTA/USMCA o el Mercosur.</w:t>
      </w:r>
      <w:r w:rsidR="004F4067">
        <w:rPr>
          <w:rFonts w:ascii="Arial Narrow" w:eastAsia="Arial Narrow" w:hAnsi="Arial Narrow" w:cs="Arial Narrow"/>
        </w:rPr>
        <w:t>)</w:t>
      </w:r>
    </w:p>
    <w:p w:rsidR="002D03F3" w:rsidRPr="002D03F3" w:rsidRDefault="004F4067" w:rsidP="004F406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firstLineChars="0" w:firstLine="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7.</w:t>
      </w:r>
      <w:r w:rsidR="002D03F3" w:rsidRPr="002D03F3">
        <w:rPr>
          <w:rFonts w:ascii="Arial Narrow" w:eastAsia="Arial Narrow" w:hAnsi="Arial Narrow" w:cs="Arial Narrow"/>
        </w:rPr>
        <w:t>Discute los efectos de los TLC sobre los sectores productivos locales, en especial aquellos más vulnerables como la agricultura o la manufactura.</w:t>
      </w:r>
      <w:r>
        <w:rPr>
          <w:rFonts w:ascii="Arial Narrow" w:eastAsia="Arial Narrow" w:hAnsi="Arial Narrow" w:cs="Arial Narrow"/>
        </w:rPr>
        <w:t xml:space="preserve"> (</w:t>
      </w:r>
      <w:r w:rsidR="002D03F3" w:rsidRPr="002D03F3">
        <w:rPr>
          <w:rFonts w:ascii="Arial Narrow" w:eastAsia="Arial Narrow" w:hAnsi="Arial Narrow" w:cs="Arial Narrow"/>
        </w:rPr>
        <w:t xml:space="preserve">Reflexiona sobre cómo la apertura comercial afecta a las industrias nacionales que no pueden competir con los productos extranjeros. ¿Qué medidas de protección han utilizado algunos países para mitigar estos </w:t>
      </w:r>
      <w:r w:rsidR="002D03F3" w:rsidRPr="002D03F3">
        <w:rPr>
          <w:rFonts w:ascii="Arial Narrow" w:eastAsia="Arial Narrow" w:hAnsi="Arial Narrow" w:cs="Arial Narrow"/>
        </w:rPr>
        <w:lastRenderedPageBreak/>
        <w:t>impactos? Usa ejemplos concretos de países latinoamericanos que hayan experimentado estas dinámicas tras la firma de un TLC.</w:t>
      </w:r>
      <w:r>
        <w:rPr>
          <w:rFonts w:ascii="Arial Narrow" w:eastAsia="Arial Narrow" w:hAnsi="Arial Narrow" w:cs="Arial Narrow"/>
        </w:rPr>
        <w:t>)</w:t>
      </w:r>
    </w:p>
    <w:p w:rsidR="006536A5" w:rsidRDefault="002A4515" w:rsidP="002A451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firstLineChars="0" w:firstLine="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8.</w:t>
      </w:r>
      <w:r w:rsidRPr="002D03F3">
        <w:rPr>
          <w:rFonts w:ascii="Arial Narrow" w:eastAsia="Arial Narrow" w:hAnsi="Arial Narrow" w:cs="Arial Narrow"/>
        </w:rPr>
        <w:t xml:space="preserve"> ¿</w:t>
      </w:r>
      <w:r w:rsidR="002D03F3" w:rsidRPr="002D03F3">
        <w:rPr>
          <w:rFonts w:ascii="Arial Narrow" w:eastAsia="Arial Narrow" w:hAnsi="Arial Narrow" w:cs="Arial Narrow"/>
        </w:rPr>
        <w:t>Cómo afectan los TLC a la soberanía económica de los países?</w:t>
      </w:r>
      <w:r>
        <w:rPr>
          <w:rFonts w:ascii="Arial Narrow" w:eastAsia="Arial Narrow" w:hAnsi="Arial Narrow" w:cs="Arial Narrow"/>
        </w:rPr>
        <w:t xml:space="preserve"> (</w:t>
      </w:r>
      <w:r w:rsidR="002D03F3" w:rsidRPr="002D03F3">
        <w:rPr>
          <w:rFonts w:ascii="Arial Narrow" w:eastAsia="Arial Narrow" w:hAnsi="Arial Narrow" w:cs="Arial Narrow"/>
        </w:rPr>
        <w:t>Considera el impacto de las regulaciones internacionales impuestas por los tratados y cómo limitan las políticas públicas locales en temas como el control de precios, la protección ambiental o los derechos laborales. ¿Cuáles son los beneficios y riesgos de ceder parte de esta soberanía en aras del comercio global?</w:t>
      </w:r>
      <w:r>
        <w:rPr>
          <w:rFonts w:ascii="Arial Narrow" w:eastAsia="Arial Narrow" w:hAnsi="Arial Narrow" w:cs="Arial Narrow"/>
        </w:rPr>
        <w:t>)</w:t>
      </w:r>
    </w:p>
    <w:p w:rsidR="00BC7C3D" w:rsidRPr="00BC7C3D" w:rsidRDefault="002A4515" w:rsidP="00BC7C3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firstLineChars="0" w:firstLine="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9.</w:t>
      </w:r>
      <w:r w:rsidR="00BC7C3D" w:rsidRPr="00BC7C3D">
        <w:t xml:space="preserve"> </w:t>
      </w:r>
      <w:r w:rsidR="00BC7C3D" w:rsidRPr="00BC7C3D">
        <w:rPr>
          <w:rFonts w:ascii="Arial Narrow" w:eastAsia="Arial Narrow" w:hAnsi="Arial Narrow" w:cs="Arial Narrow"/>
        </w:rPr>
        <w:t xml:space="preserve">Analiza la evolución de la lucha obrera desde finales del siglo XIX hasta la actualidad, destacando los momentos clave en los que los movimientos sindicales lograron avances </w:t>
      </w:r>
      <w:r w:rsidR="00B34CE5" w:rsidRPr="00BC7C3D">
        <w:rPr>
          <w:rFonts w:ascii="Arial Narrow" w:eastAsia="Arial Narrow" w:hAnsi="Arial Narrow" w:cs="Arial Narrow"/>
        </w:rPr>
        <w:t>significativos.</w:t>
      </w:r>
      <w:r w:rsidR="00B34CE5">
        <w:rPr>
          <w:rFonts w:ascii="Arial Narrow" w:eastAsia="Arial Narrow" w:hAnsi="Arial Narrow" w:cs="Arial Narrow"/>
        </w:rPr>
        <w:t xml:space="preserve"> (</w:t>
      </w:r>
      <w:r w:rsidR="00BC7C3D" w:rsidRPr="00BC7C3D">
        <w:rPr>
          <w:rFonts w:ascii="Arial Narrow" w:eastAsia="Arial Narrow" w:hAnsi="Arial Narrow" w:cs="Arial Narrow"/>
        </w:rPr>
        <w:t xml:space="preserve">En tu respuesta, menciona eventos como la Revolución Industrial, la huelga de </w:t>
      </w:r>
      <w:proofErr w:type="spellStart"/>
      <w:r w:rsidR="00BC7C3D" w:rsidRPr="00BC7C3D">
        <w:rPr>
          <w:rFonts w:ascii="Arial Narrow" w:eastAsia="Arial Narrow" w:hAnsi="Arial Narrow" w:cs="Arial Narrow"/>
        </w:rPr>
        <w:t>Haymarket</w:t>
      </w:r>
      <w:proofErr w:type="spellEnd"/>
      <w:r w:rsidR="00BC7C3D" w:rsidRPr="00BC7C3D">
        <w:rPr>
          <w:rFonts w:ascii="Arial Narrow" w:eastAsia="Arial Narrow" w:hAnsi="Arial Narrow" w:cs="Arial Narrow"/>
        </w:rPr>
        <w:t>, la creación de sindicatos, el movimiento obrero en América Latina, y la consolidación de derechos laborales en el siglo XX. Reflexiona sobre los cambios en la naturaleza del trabajo y el impacto que han tenido las nuevas tecnologías y la globalización en las formas actuales de lucha obrera.</w:t>
      </w:r>
      <w:r w:rsidR="00C040C4">
        <w:rPr>
          <w:rFonts w:ascii="Arial Narrow" w:eastAsia="Arial Narrow" w:hAnsi="Arial Narrow" w:cs="Arial Narrow"/>
        </w:rPr>
        <w:t>)</w:t>
      </w:r>
    </w:p>
    <w:p w:rsidR="002A4515" w:rsidRPr="00C040C4" w:rsidRDefault="00C040C4" w:rsidP="00C040C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firstLineChars="0" w:firstLine="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10.</w:t>
      </w:r>
      <w:r w:rsidR="00BC7C3D" w:rsidRPr="00BC7C3D">
        <w:rPr>
          <w:rFonts w:ascii="Arial Narrow" w:eastAsia="Arial Narrow" w:hAnsi="Arial Narrow" w:cs="Arial Narrow"/>
        </w:rPr>
        <w:t>Evalúa el impacto de las políticas neoliberales en los movimientos obreros y la capacidad de los sindicatos para defender los derechos de los trabajadores.</w:t>
      </w:r>
      <w:r>
        <w:rPr>
          <w:rFonts w:ascii="Arial Narrow" w:eastAsia="Arial Narrow" w:hAnsi="Arial Narrow" w:cs="Arial Narrow"/>
        </w:rPr>
        <w:t xml:space="preserve"> (</w:t>
      </w:r>
      <w:r w:rsidR="00BC7C3D" w:rsidRPr="00BC7C3D">
        <w:rPr>
          <w:rFonts w:ascii="Arial Narrow" w:eastAsia="Arial Narrow" w:hAnsi="Arial Narrow" w:cs="Arial Narrow"/>
        </w:rPr>
        <w:t>Investiga cómo las reformas neoliberales implementadas en los años 80 y 90 en distintos países, especialmente en América Latina y Europa, afectaron la organización sindical, los salarios y las condiciones laborales. Reflexiona sobre las respuestas de los sindicatos y las nuevas formas de organización laboral en un contexto de creciente precarización del trabajo, subcontratación y flexibilización laboral.</w:t>
      </w:r>
      <w:r>
        <w:rPr>
          <w:rFonts w:ascii="Arial Narrow" w:eastAsia="Arial Narrow" w:hAnsi="Arial Narrow" w:cs="Arial Narrow"/>
        </w:rPr>
        <w:t>)</w:t>
      </w:r>
    </w:p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OBSERVACIONES: </w:t>
      </w:r>
    </w:p>
    <w:p w:rsidR="006536A5" w:rsidRDefault="00542F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Cada estudiante</w:t>
      </w:r>
      <w:r>
        <w:rPr>
          <w:rFonts w:ascii="Arial Narrow" w:eastAsia="Arial Narrow" w:hAnsi="Arial Narrow" w:cs="Arial Narrow"/>
        </w:rPr>
        <w:t xml:space="preserve"> d</w:t>
      </w:r>
      <w:r>
        <w:rPr>
          <w:rFonts w:ascii="Arial Narrow" w:eastAsia="Arial Narrow" w:hAnsi="Arial Narrow" w:cs="Arial Narrow"/>
          <w:color w:val="000000"/>
        </w:rPr>
        <w:t>eberá realizar y presentar el trabajo escrito teniendo en cuenta los siguientes parámetros:</w:t>
      </w:r>
    </w:p>
    <w:p w:rsidR="006536A5" w:rsidRDefault="00542FA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El trabajo debe realizarse y presentarse a mano</w:t>
      </w:r>
    </w:p>
    <w:p w:rsidR="006536A5" w:rsidRDefault="00542FA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Se deberá utilizar normas APA en el trabajo escrito  </w:t>
      </w:r>
    </w:p>
    <w:p w:rsidR="006536A5" w:rsidRDefault="00542FA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Se deberá citar fuentes de consulta o investigación utilizadas para el desarrollo del trabajo</w:t>
      </w:r>
    </w:p>
    <w:p w:rsidR="006536A5" w:rsidRDefault="00542FA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La sustentación se hará de forma escrita, para esto tener en cuenta presentarse con los implementos necesarios para dicha sustentación como lo son: Lápiz, Lapicero, Borrador, Sacapuntas y Hojas</w:t>
      </w:r>
    </w:p>
    <w:p w:rsidR="006536A5" w:rsidRDefault="006536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bookmarkStart w:id="3" w:name="_heading=h.gjdgxs" w:colFirst="0" w:colLast="0"/>
      <w:bookmarkEnd w:id="3"/>
    </w:p>
    <w:p w:rsidR="006536A5" w:rsidRDefault="006536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536A5" w:rsidRDefault="00542FA6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Bibliografía </w:t>
      </w:r>
    </w:p>
    <w:p w:rsidR="006536A5" w:rsidRDefault="00340B38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-Concepto </w:t>
      </w:r>
      <w:proofErr w:type="gramStart"/>
      <w:r>
        <w:rPr>
          <w:rFonts w:ascii="Arial Narrow" w:eastAsia="Arial Narrow" w:hAnsi="Arial Narrow" w:cs="Arial Narrow"/>
          <w:color w:val="000000"/>
        </w:rPr>
        <w:t>( 01</w:t>
      </w:r>
      <w:proofErr w:type="gramEnd"/>
      <w:r>
        <w:rPr>
          <w:rFonts w:ascii="Arial Narrow" w:eastAsia="Arial Narrow" w:hAnsi="Arial Narrow" w:cs="Arial Narrow"/>
          <w:color w:val="000000"/>
        </w:rPr>
        <w:t xml:space="preserve">-10-24).Revolución </w:t>
      </w:r>
      <w:r w:rsidR="00B34CE5">
        <w:rPr>
          <w:rFonts w:ascii="Arial Narrow" w:eastAsia="Arial Narrow" w:hAnsi="Arial Narrow" w:cs="Arial Narrow"/>
          <w:color w:val="000000"/>
        </w:rPr>
        <w:t>industrial</w:t>
      </w:r>
      <w:r>
        <w:rPr>
          <w:rFonts w:ascii="Arial Narrow" w:eastAsia="Arial Narrow" w:hAnsi="Arial Narrow" w:cs="Arial Narrow"/>
          <w:color w:val="000000"/>
        </w:rPr>
        <w:t xml:space="preserve">. Recuperado de </w:t>
      </w:r>
      <w:hyperlink r:id="rId9" w:history="1">
        <w:r w:rsidRPr="0066612A">
          <w:rPr>
            <w:rStyle w:val="Hipervnculo"/>
            <w:rFonts w:ascii="Arial Narrow" w:eastAsia="Arial Narrow" w:hAnsi="Arial Narrow" w:cs="Arial Narrow"/>
          </w:rPr>
          <w:t>https://concepto.de/revolucion-industrial/</w:t>
        </w:r>
      </w:hyperlink>
    </w:p>
    <w:p w:rsidR="008B3AA5" w:rsidRDefault="008B3AA5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-Concepto (16-07-21</w:t>
      </w:r>
      <w:proofErr w:type="gramStart"/>
      <w:r>
        <w:rPr>
          <w:rFonts w:ascii="Arial Narrow" w:eastAsia="Arial Narrow" w:hAnsi="Arial Narrow" w:cs="Arial Narrow"/>
          <w:color w:val="000000"/>
        </w:rPr>
        <w:t>).Contrato</w:t>
      </w:r>
      <w:proofErr w:type="gramEnd"/>
      <w:r>
        <w:rPr>
          <w:rFonts w:ascii="Arial Narrow" w:eastAsia="Arial Narrow" w:hAnsi="Arial Narrow" w:cs="Arial Narrow"/>
          <w:color w:val="000000"/>
        </w:rPr>
        <w:t xml:space="preserve"> social. Recuperado de </w:t>
      </w:r>
      <w:hyperlink r:id="rId10" w:history="1">
        <w:r w:rsidRPr="0066612A">
          <w:rPr>
            <w:rStyle w:val="Hipervnculo"/>
            <w:rFonts w:ascii="Arial Narrow" w:eastAsia="Arial Narrow" w:hAnsi="Arial Narrow" w:cs="Arial Narrow"/>
          </w:rPr>
          <w:t>https://concepto.de/contrato-social/</w:t>
        </w:r>
      </w:hyperlink>
    </w:p>
    <w:p w:rsidR="008B3AA5" w:rsidRDefault="00D820C8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</w:t>
      </w:r>
      <w:proofErr w:type="spellStart"/>
      <w:r>
        <w:rPr>
          <w:rFonts w:ascii="Arial Narrow" w:eastAsia="Arial Narrow" w:hAnsi="Arial Narrow" w:cs="Arial Narrow"/>
          <w:color w:val="000000"/>
        </w:rPr>
        <w:t>Banrepcu</w:t>
      </w:r>
      <w:bookmarkStart w:id="4" w:name="_GoBack"/>
      <w:bookmarkEnd w:id="4"/>
      <w:r>
        <w:rPr>
          <w:rFonts w:ascii="Arial Narrow" w:eastAsia="Arial Narrow" w:hAnsi="Arial Narrow" w:cs="Arial Narrow"/>
          <w:color w:val="000000"/>
        </w:rPr>
        <w:t>ltural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(2024).</w:t>
      </w:r>
      <w:r w:rsidRPr="00D820C8">
        <w:t xml:space="preserve"> </w:t>
      </w:r>
      <w:r w:rsidRPr="00D820C8">
        <w:rPr>
          <w:rFonts w:ascii="Arial Narrow" w:eastAsia="Arial Narrow" w:hAnsi="Arial Narrow" w:cs="Arial Narrow"/>
          <w:color w:val="000000"/>
        </w:rPr>
        <w:t>Organización del Estado colombiano</w:t>
      </w:r>
      <w:r>
        <w:rPr>
          <w:rFonts w:ascii="Arial Narrow" w:eastAsia="Arial Narrow" w:hAnsi="Arial Narrow" w:cs="Arial Narrow"/>
          <w:color w:val="000000"/>
        </w:rPr>
        <w:t xml:space="preserve">. Recuperado de </w:t>
      </w:r>
      <w:hyperlink r:id="rId11" w:history="1">
        <w:r w:rsidRPr="0066612A">
          <w:rPr>
            <w:rStyle w:val="Hipervnculo"/>
            <w:rFonts w:ascii="Arial Narrow" w:eastAsia="Arial Narrow" w:hAnsi="Arial Narrow" w:cs="Arial Narrow"/>
          </w:rPr>
          <w:t>https://enciclopedia.banrepcultural.org/index.php?title=Organizaci%C3%B3n_del_Estado_colombiano</w:t>
        </w:r>
      </w:hyperlink>
      <w:r w:rsidRPr="00D820C8">
        <w:rPr>
          <w:rFonts w:ascii="Arial Narrow" w:eastAsia="Arial Narrow" w:hAnsi="Arial Narrow" w:cs="Arial Narrow"/>
          <w:color w:val="000000"/>
        </w:rPr>
        <w:t>.</w:t>
      </w:r>
    </w:p>
    <w:p w:rsidR="00E93DB8" w:rsidRDefault="00E93DB8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</w:t>
      </w:r>
      <w:r w:rsidRPr="00E93DB8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Banrepcultural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(01-11-22). </w:t>
      </w:r>
      <w:r w:rsidRPr="00E93DB8">
        <w:rPr>
          <w:rFonts w:ascii="Arial Narrow" w:eastAsia="Arial Narrow" w:hAnsi="Arial Narrow" w:cs="Arial Narrow"/>
          <w:color w:val="000000"/>
        </w:rPr>
        <w:t>De la unidad sindical al sindicalismo de tendencia: la restructuración del movimiento obrero colombiano a mediados del siglo XX</w:t>
      </w:r>
      <w:r>
        <w:rPr>
          <w:rFonts w:ascii="Arial Narrow" w:eastAsia="Arial Narrow" w:hAnsi="Arial Narrow" w:cs="Arial Narrow"/>
          <w:color w:val="000000"/>
        </w:rPr>
        <w:t xml:space="preserve">. Recuperado de </w:t>
      </w:r>
      <w:hyperlink r:id="rId12" w:history="1">
        <w:r w:rsidRPr="0066612A">
          <w:rPr>
            <w:rStyle w:val="Hipervnculo"/>
            <w:rFonts w:ascii="Arial Narrow" w:eastAsia="Arial Narrow" w:hAnsi="Arial Narrow" w:cs="Arial Narrow"/>
          </w:rPr>
          <w:t>https://www.banrepcultural.org/biblioteca-virtual/credencial-historia/numero-393/de-la-unidad-sindical-al-sindicalismo-de-tendencia</w:t>
        </w:r>
      </w:hyperlink>
    </w:p>
    <w:p w:rsidR="00CC013A" w:rsidRDefault="00CC013A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D820C8" w:rsidRDefault="00D820C8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340B38" w:rsidRDefault="00340B38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</w:rPr>
      </w:pPr>
    </w:p>
    <w:p w:rsidR="006536A5" w:rsidRDefault="006536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536A5" w:rsidRDefault="006536A5">
      <w:pPr>
        <w:ind w:left="0" w:hanging="2"/>
      </w:pPr>
    </w:p>
    <w:sectPr w:rsidR="006536A5">
      <w:headerReference w:type="default" r:id="rId13"/>
      <w:footerReference w:type="default" r:id="rId14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BCD" w:rsidRDefault="00B66BCD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B66BCD" w:rsidRDefault="00B66BC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6A5" w:rsidRDefault="00542FA6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B34CE5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B34CE5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BCD" w:rsidRDefault="00B66BCD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B66BCD" w:rsidRDefault="00B66BCD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6A5" w:rsidRDefault="006536A5">
    <w:pPr>
      <w:ind w:left="0" w:hanging="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B65C3"/>
    <w:multiLevelType w:val="multilevel"/>
    <w:tmpl w:val="6CBCCA10"/>
    <w:lvl w:ilvl="0">
      <w:start w:val="1"/>
      <w:numFmt w:val="decimal"/>
      <w:lvlText w:val="%1."/>
      <w:lvlJc w:val="left"/>
      <w:pPr>
        <w:ind w:left="358" w:hanging="360"/>
      </w:p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55BD0B87"/>
    <w:multiLevelType w:val="multilevel"/>
    <w:tmpl w:val="F0769C0E"/>
    <w:lvl w:ilvl="0">
      <w:start w:val="1"/>
      <w:numFmt w:val="bullet"/>
      <w:lvlText w:val="⮚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6A5"/>
    <w:rsid w:val="00001051"/>
    <w:rsid w:val="000D34F9"/>
    <w:rsid w:val="002A4515"/>
    <w:rsid w:val="002D03F3"/>
    <w:rsid w:val="002F627A"/>
    <w:rsid w:val="00340B38"/>
    <w:rsid w:val="003E1C7F"/>
    <w:rsid w:val="004F4067"/>
    <w:rsid w:val="00542FA6"/>
    <w:rsid w:val="006536A5"/>
    <w:rsid w:val="006F5DD6"/>
    <w:rsid w:val="008B3AA5"/>
    <w:rsid w:val="00B34CE5"/>
    <w:rsid w:val="00B66BCD"/>
    <w:rsid w:val="00B9642F"/>
    <w:rsid w:val="00BC7C3D"/>
    <w:rsid w:val="00C040C4"/>
    <w:rsid w:val="00CC013A"/>
    <w:rsid w:val="00D820C8"/>
    <w:rsid w:val="00D96727"/>
    <w:rsid w:val="00E9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E40B5"/>
  <w15:docId w15:val="{CFDA6FD9-E312-4B25-8E23-31759F5D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706EA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0706EA"/>
    <w:pPr>
      <w:ind w:left="720"/>
      <w:contextualSpacing/>
    </w:pPr>
  </w:style>
  <w:style w:type="character" w:styleId="Hipervnculo">
    <w:name w:val="Hyperlink"/>
    <w:uiPriority w:val="99"/>
    <w:unhideWhenUsed/>
    <w:rsid w:val="000706EA"/>
    <w:rPr>
      <w:color w:val="0000FF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7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anrepcultural.org/biblioteca-virtual/credencial-historia/numero-393/de-la-unidad-sindical-al-sindicalismo-de-tendenci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nciclopedia.banrepcultural.org/index.php?title=Organizaci%C3%B3n_del_Estado_colombian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oncepto.de/contrato-socia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cepto.de/revolucion-industria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X3mM7cHuHsoqpdS4dbMN3IpJgA==">CgMxLjAyCWguMzBqMHpsbDIOaC56Y3Awa3ZlZ2t2c3gyDmguZ2J5cDhhOW56MjU2MghoLmdqZGd4czgAciExR2gyZVYweEhZSEs2NzE0ejVNT09EQnhUcEtWc2Z5eTM=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Classroom 166</dc:creator>
  <cp:lastModifiedBy>Estudiante</cp:lastModifiedBy>
  <cp:revision>8</cp:revision>
  <dcterms:created xsi:type="dcterms:W3CDTF">2024-10-23T12:31:00Z</dcterms:created>
  <dcterms:modified xsi:type="dcterms:W3CDTF">2024-12-09T16:42:00Z</dcterms:modified>
</cp:coreProperties>
</file>